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E474A" w14:textId="77777777" w:rsidR="008C7BE7" w:rsidRPr="00795DBC" w:rsidRDefault="00CA1875" w:rsidP="008C7BE7">
      <w:pPr>
        <w:rPr>
          <w:rFonts w:eastAsia="Times New Roman"/>
          <w:b/>
        </w:rPr>
      </w:pPr>
      <w:r w:rsidRPr="00795DBC">
        <w:rPr>
          <w:rFonts w:eastAsia="Times New Roman"/>
          <w:b/>
        </w:rPr>
        <w:t>Nuclear Outage Deferral Accounting</w:t>
      </w:r>
    </w:p>
    <w:p w14:paraId="0371CA30" w14:textId="77777777" w:rsidR="00CA1875" w:rsidRDefault="00CA1875" w:rsidP="008C7BE7">
      <w:pPr>
        <w:rPr>
          <w:rFonts w:eastAsia="Times New Roman"/>
        </w:rPr>
      </w:pPr>
    </w:p>
    <w:p w14:paraId="3F6640EB" w14:textId="4B646E6D" w:rsidR="00CA1875" w:rsidRDefault="001D26E7" w:rsidP="00CA1875">
      <w:r>
        <w:t xml:space="preserve">Currently, </w:t>
      </w:r>
      <w:r w:rsidR="00CA1875">
        <w:t xml:space="preserve">Georgia Power Company (GPC) has a total of four units at Plants Hatch and Vogtle.  In 1992, </w:t>
      </w:r>
      <w:r w:rsidR="008565C8">
        <w:t xml:space="preserve">as a result of the 1991 rate case order issued in Docket No. 4007-U, </w:t>
      </w:r>
      <w:r w:rsidR="00CA1875">
        <w:t xml:space="preserve">GPC began </w:t>
      </w:r>
      <w:r>
        <w:t xml:space="preserve">the </w:t>
      </w:r>
      <w:r w:rsidR="00CA1875">
        <w:t xml:space="preserve">accounting process of amortizing the costs of each particular unit’s outage expenses beginning in the month that the outage begins and continuing until the next outage.  This would be a 24-month period for Hatch and an 18-month period for Vogtle.  GPC uses the method of amortizing costs from breaker to breaker. There is a true up so that the final costs are amortized.  </w:t>
      </w:r>
      <w:r w:rsidR="00792E32">
        <w:t xml:space="preserve">Costs can be deferred on up to two outages at the same time, due to lapse in calendar months.  However, only one will be amortized at a time.  </w:t>
      </w:r>
      <w:r w:rsidR="00CA1875">
        <w:t>The following are examples of the GPC entries booked to account for the nuclear outages:</w:t>
      </w:r>
    </w:p>
    <w:p w14:paraId="50D55B06" w14:textId="77777777" w:rsidR="00CA1875" w:rsidRDefault="00CA1875" w:rsidP="00CA1875"/>
    <w:p w14:paraId="2411E559" w14:textId="77777777" w:rsidR="00CA1875" w:rsidRPr="00D47C3D" w:rsidRDefault="00CA1875" w:rsidP="00CA1875">
      <w:pPr>
        <w:pStyle w:val="ListParagraph"/>
        <w:numPr>
          <w:ilvl w:val="0"/>
          <w:numId w:val="3"/>
        </w:numPr>
        <w:rPr>
          <w:b/>
          <w:u w:val="single"/>
        </w:rPr>
      </w:pPr>
      <w:r w:rsidRPr="00D47C3D">
        <w:rPr>
          <w:b/>
          <w:u w:val="single"/>
        </w:rPr>
        <w:t>Incurred Costs:</w:t>
      </w:r>
    </w:p>
    <w:p w14:paraId="5D985DF3" w14:textId="77777777" w:rsidR="00D9561F" w:rsidRDefault="00D9561F" w:rsidP="00D9561F">
      <w:pPr>
        <w:pStyle w:val="ListParagraph"/>
        <w:ind w:left="360"/>
        <w:rPr>
          <w:u w:val="single"/>
        </w:rPr>
      </w:pPr>
    </w:p>
    <w:p w14:paraId="39590C38" w14:textId="3391B52D" w:rsidR="00D9561F" w:rsidRPr="00D9561F" w:rsidRDefault="00D9561F" w:rsidP="00D9561F">
      <w:r w:rsidRPr="00D9561F">
        <w:t xml:space="preserve">Booked by </w:t>
      </w:r>
      <w:r w:rsidR="008565C8">
        <w:t xml:space="preserve">Southern </w:t>
      </w:r>
      <w:r w:rsidRPr="00D9561F">
        <w:t>Nuclear</w:t>
      </w:r>
      <w:r w:rsidR="008565C8">
        <w:t xml:space="preserve"> (SNC)</w:t>
      </w:r>
      <w:r>
        <w:t>.</w:t>
      </w:r>
    </w:p>
    <w:p w14:paraId="28368B20" w14:textId="77777777" w:rsidR="00CA1875" w:rsidRDefault="00CA1875" w:rsidP="00CA1875"/>
    <w:p w14:paraId="4F8408BD" w14:textId="77777777" w:rsidR="00CA1875" w:rsidRDefault="00CA1875" w:rsidP="00CA1875">
      <w:pPr>
        <w:tabs>
          <w:tab w:val="left" w:pos="720"/>
          <w:tab w:val="left" w:pos="4320"/>
          <w:tab w:val="left" w:pos="5040"/>
        </w:tabs>
      </w:pPr>
      <w:r>
        <w:t>Debit FERC 517 Operation</w:t>
      </w:r>
      <w:r>
        <w:tab/>
        <w:t>Amount of expense</w:t>
      </w:r>
    </w:p>
    <w:p w14:paraId="17502AC1" w14:textId="77777777" w:rsidR="00CA1875" w:rsidRDefault="00CA1875" w:rsidP="00CA1875">
      <w:pPr>
        <w:tabs>
          <w:tab w:val="left" w:pos="720"/>
          <w:tab w:val="left" w:pos="4320"/>
          <w:tab w:val="left" w:pos="5040"/>
        </w:tabs>
      </w:pPr>
      <w:r>
        <w:t>Debit FERC 528 Maintenance</w:t>
      </w:r>
      <w:r>
        <w:tab/>
        <w:t>Amount of expense</w:t>
      </w:r>
    </w:p>
    <w:p w14:paraId="7984FDC2" w14:textId="77777777" w:rsidR="00CA1875" w:rsidRDefault="00CA1875" w:rsidP="00CA1875">
      <w:pPr>
        <w:tabs>
          <w:tab w:val="left" w:pos="720"/>
          <w:tab w:val="left" w:pos="4320"/>
          <w:tab w:val="left" w:pos="5040"/>
        </w:tabs>
      </w:pPr>
      <w:r>
        <w:tab/>
        <w:t xml:space="preserve">Credit FERC 131 - Cash </w:t>
      </w:r>
      <w:r>
        <w:tab/>
      </w:r>
      <w:r>
        <w:tab/>
        <w:t>Amount of expense</w:t>
      </w:r>
    </w:p>
    <w:p w14:paraId="7E07FEE6" w14:textId="77777777" w:rsidR="00CA1875" w:rsidRDefault="00CA1875" w:rsidP="00CA1875"/>
    <w:p w14:paraId="13CAAE7A" w14:textId="3FCB64A1" w:rsidR="00CA1875" w:rsidRPr="00D47C3D" w:rsidRDefault="00CA1875" w:rsidP="00CA1875">
      <w:pPr>
        <w:pStyle w:val="ListParagraph"/>
        <w:numPr>
          <w:ilvl w:val="0"/>
          <w:numId w:val="3"/>
        </w:numPr>
        <w:rPr>
          <w:b/>
          <w:u w:val="single"/>
        </w:rPr>
      </w:pPr>
      <w:r w:rsidRPr="00D47C3D">
        <w:rPr>
          <w:b/>
          <w:u w:val="single"/>
        </w:rPr>
        <w:t>Deferral of Costs:</w:t>
      </w:r>
    </w:p>
    <w:p w14:paraId="6194279B" w14:textId="77777777" w:rsidR="00CA1875" w:rsidRDefault="00CA1875" w:rsidP="00CA1875"/>
    <w:p w14:paraId="0BC0425F" w14:textId="5C87A26C" w:rsidR="00D9561F" w:rsidRDefault="00D9561F" w:rsidP="00D9561F">
      <w:r>
        <w:t xml:space="preserve">Booked by Financial Accounting and </w:t>
      </w:r>
      <w:r w:rsidR="008565C8">
        <w:t>R</w:t>
      </w:r>
      <w:r>
        <w:t>eporting</w:t>
      </w:r>
      <w:r w:rsidR="008565C8">
        <w:t xml:space="preserve"> (FAR)</w:t>
      </w:r>
      <w:r>
        <w:t xml:space="preserve">.  On the </w:t>
      </w:r>
      <w:r w:rsidR="00077D8F">
        <w:t>4</w:t>
      </w:r>
      <w:r w:rsidRPr="00D9561F">
        <w:rPr>
          <w:vertAlign w:val="superscript"/>
        </w:rPr>
        <w:t>th</w:t>
      </w:r>
      <w:r>
        <w:t xml:space="preserve"> </w:t>
      </w:r>
      <w:r w:rsidR="008565C8">
        <w:t>w</w:t>
      </w:r>
      <w:r w:rsidR="00EA043E">
        <w:t>ork</w:t>
      </w:r>
      <w:r w:rsidR="008565C8">
        <w:t>d</w:t>
      </w:r>
      <w:r w:rsidR="00EA043E">
        <w:t>ay of the month</w:t>
      </w:r>
      <w:r>
        <w:t>, SNC sends an email to provide Outage cost incurred for the closed month by unit. The cost is by plant at 100% and is an estimate.  The Normalization Schedule worksheet is used to calculate GPC’s percentage of cost.  Hatch (50.1%) and Vogtle (45.7%)</w:t>
      </w:r>
      <w:r w:rsidR="00792E32">
        <w:t>.</w:t>
      </w:r>
    </w:p>
    <w:p w14:paraId="279F8682" w14:textId="77777777" w:rsidR="00942FA6" w:rsidRDefault="00942FA6" w:rsidP="00D9561F"/>
    <w:p w14:paraId="69BF00EA" w14:textId="72943C06" w:rsidR="00D9561F" w:rsidRPr="00942FA6" w:rsidRDefault="00942FA6" w:rsidP="00CA1875">
      <w:pPr>
        <w:rPr>
          <w:b/>
          <w:bCs/>
          <w:u w:val="single"/>
        </w:rPr>
      </w:pPr>
      <w:r w:rsidRPr="00942FA6">
        <w:rPr>
          <w:b/>
          <w:bCs/>
          <w:u w:val="single"/>
        </w:rPr>
        <w:t>Outage costs:</w:t>
      </w:r>
    </w:p>
    <w:p w14:paraId="5F92F902" w14:textId="77777777" w:rsidR="00CA1875" w:rsidRDefault="00D9561F" w:rsidP="00D47C3D">
      <w:pPr>
        <w:tabs>
          <w:tab w:val="left" w:pos="720"/>
          <w:tab w:val="left" w:pos="4320"/>
          <w:tab w:val="left" w:pos="5040"/>
        </w:tabs>
      </w:pPr>
      <w:r>
        <w:t>Debit FERC 182</w:t>
      </w:r>
      <w:r w:rsidR="00CA1875">
        <w:t>3</w:t>
      </w:r>
      <w:r>
        <w:t>0620</w:t>
      </w:r>
      <w:r w:rsidR="00CA1875">
        <w:t xml:space="preserve"> Other Reg Assets</w:t>
      </w:r>
      <w:r w:rsidR="00CA1875">
        <w:tab/>
      </w:r>
      <w:r>
        <w:tab/>
      </w:r>
      <w:r>
        <w:tab/>
      </w:r>
      <w:r>
        <w:tab/>
      </w:r>
      <w:r w:rsidR="00D47C3D">
        <w:tab/>
      </w:r>
      <w:r w:rsidR="00D47C3D">
        <w:tab/>
      </w:r>
      <w:r w:rsidR="00D47C3D">
        <w:tab/>
      </w:r>
      <w:r w:rsidR="00CA1875">
        <w:t>Amount of expense</w:t>
      </w:r>
    </w:p>
    <w:p w14:paraId="2467A010" w14:textId="77777777" w:rsidR="00CA1875" w:rsidRDefault="00D47C3D" w:rsidP="00D47C3D">
      <w:pPr>
        <w:tabs>
          <w:tab w:val="left" w:pos="288"/>
          <w:tab w:val="left" w:pos="720"/>
          <w:tab w:val="left" w:pos="4320"/>
          <w:tab w:val="left" w:pos="5040"/>
        </w:tabs>
      </w:pPr>
      <w:r>
        <w:tab/>
      </w:r>
      <w:r w:rsidR="00CA1875">
        <w:t>Credit FERC 4074</w:t>
      </w:r>
      <w:r w:rsidR="00D9561F">
        <w:t>0005</w:t>
      </w:r>
      <w:r w:rsidR="00CA1875">
        <w:t xml:space="preserve"> Regulatory Credit</w:t>
      </w:r>
      <w:r w:rsidR="00D9561F">
        <w:t>-</w:t>
      </w:r>
      <w:r w:rsidR="00D9561F" w:rsidRPr="00D9561F">
        <w:t>Nuclear Outage Deferral</w:t>
      </w:r>
      <w:r w:rsidR="00CA1875">
        <w:tab/>
      </w:r>
      <w:r>
        <w:tab/>
      </w:r>
      <w:r w:rsidR="00CA1875">
        <w:t>Amount of expense</w:t>
      </w:r>
    </w:p>
    <w:p w14:paraId="14D58AD8" w14:textId="77777777" w:rsidR="00942FA6" w:rsidRDefault="00942FA6" w:rsidP="00942FA6">
      <w:pPr>
        <w:tabs>
          <w:tab w:val="left" w:pos="720"/>
          <w:tab w:val="left" w:pos="4320"/>
          <w:tab w:val="left" w:pos="5040"/>
        </w:tabs>
      </w:pPr>
    </w:p>
    <w:p w14:paraId="27B7902A" w14:textId="77777777" w:rsidR="00D9561F" w:rsidRDefault="00D9561F" w:rsidP="00CA1875">
      <w:pPr>
        <w:tabs>
          <w:tab w:val="left" w:pos="720"/>
          <w:tab w:val="left" w:pos="4320"/>
          <w:tab w:val="left" w:pos="5040"/>
        </w:tabs>
      </w:pPr>
      <w:r>
        <w:t xml:space="preserve">Later in the month about a week before the next close, SNC sends an email with the final cost for the prior closed month by unit.  </w:t>
      </w:r>
      <w:r w:rsidR="00D47C3D">
        <w:t xml:space="preserve">The cost for the true up is added to the Normalization Schedule worksheet and </w:t>
      </w:r>
      <w:r>
        <w:t>is booked as a true up the following month.</w:t>
      </w:r>
    </w:p>
    <w:p w14:paraId="48225999" w14:textId="77777777" w:rsidR="00D47C3D" w:rsidRDefault="00D47C3D" w:rsidP="00CA1875">
      <w:pPr>
        <w:tabs>
          <w:tab w:val="left" w:pos="720"/>
          <w:tab w:val="left" w:pos="4320"/>
          <w:tab w:val="left" w:pos="5040"/>
        </w:tabs>
      </w:pPr>
    </w:p>
    <w:p w14:paraId="68D42137" w14:textId="77777777" w:rsidR="00D47C3D" w:rsidRDefault="00D47C3D" w:rsidP="00CA1875">
      <w:pPr>
        <w:tabs>
          <w:tab w:val="left" w:pos="720"/>
          <w:tab w:val="left" w:pos="4320"/>
          <w:tab w:val="left" w:pos="5040"/>
        </w:tabs>
      </w:pPr>
      <w:r>
        <w:t>GPC reverses the original entry and then rebooks the entire amount that includes the true up</w:t>
      </w:r>
    </w:p>
    <w:p w14:paraId="4C863BC3" w14:textId="77777777" w:rsidR="00942FA6" w:rsidRDefault="00942FA6" w:rsidP="00CA1875">
      <w:pPr>
        <w:tabs>
          <w:tab w:val="left" w:pos="720"/>
          <w:tab w:val="left" w:pos="4320"/>
          <w:tab w:val="left" w:pos="5040"/>
        </w:tabs>
      </w:pPr>
    </w:p>
    <w:p w14:paraId="2D0B24A1" w14:textId="5BA46367" w:rsidR="00D47C3D" w:rsidRPr="00942FA6" w:rsidRDefault="00942FA6" w:rsidP="00CA1875">
      <w:pPr>
        <w:tabs>
          <w:tab w:val="left" w:pos="720"/>
          <w:tab w:val="left" w:pos="4320"/>
          <w:tab w:val="left" w:pos="5040"/>
        </w:tabs>
        <w:rPr>
          <w:b/>
          <w:bCs/>
          <w:u w:val="single"/>
        </w:rPr>
      </w:pPr>
      <w:r w:rsidRPr="00942FA6">
        <w:rPr>
          <w:b/>
          <w:bCs/>
          <w:u w:val="single"/>
        </w:rPr>
        <w:t>Outage costs:</w:t>
      </w:r>
    </w:p>
    <w:p w14:paraId="1F8912AD" w14:textId="77777777" w:rsidR="00D47C3D" w:rsidRDefault="00D47C3D" w:rsidP="00D47C3D">
      <w:pPr>
        <w:tabs>
          <w:tab w:val="left" w:pos="720"/>
          <w:tab w:val="left" w:pos="4320"/>
          <w:tab w:val="left" w:pos="5040"/>
        </w:tabs>
      </w:pPr>
      <w:r>
        <w:t>Debit FERC 40740005 Regulatory Credit-</w:t>
      </w:r>
      <w:r w:rsidRPr="00D9561F">
        <w:t>Nuclear Outage Deferral</w:t>
      </w:r>
      <w:r>
        <w:tab/>
        <w:t>Prior Month Expense</w:t>
      </w:r>
    </w:p>
    <w:p w14:paraId="689E36AF" w14:textId="77777777" w:rsidR="00D47C3D" w:rsidRDefault="00D47C3D" w:rsidP="00D47C3D">
      <w:pPr>
        <w:rPr>
          <w:rFonts w:eastAsia="Times New Roman"/>
        </w:rPr>
      </w:pPr>
      <w:r>
        <w:tab/>
        <w:t>Credit FERC 18230620 Other Reg Assets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Prior Month Expense</w:t>
      </w:r>
      <w:r>
        <w:tab/>
      </w:r>
    </w:p>
    <w:p w14:paraId="18A4CE7D" w14:textId="77777777" w:rsidR="00D47C3D" w:rsidRDefault="00D47C3D" w:rsidP="00CA1875">
      <w:pPr>
        <w:tabs>
          <w:tab w:val="left" w:pos="720"/>
          <w:tab w:val="left" w:pos="4320"/>
          <w:tab w:val="left" w:pos="5040"/>
        </w:tabs>
      </w:pPr>
    </w:p>
    <w:p w14:paraId="05924F01" w14:textId="77777777" w:rsidR="00D47C3D" w:rsidRDefault="00D47C3D" w:rsidP="00D47C3D">
      <w:pPr>
        <w:tabs>
          <w:tab w:val="left" w:pos="720"/>
          <w:tab w:val="left" w:pos="4320"/>
          <w:tab w:val="left" w:pos="5040"/>
        </w:tabs>
      </w:pPr>
      <w:r>
        <w:t>Debit FERC 18230620 Other Reg Assets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 of expense incl True Up</w:t>
      </w:r>
    </w:p>
    <w:p w14:paraId="58ED98AD" w14:textId="54AF7D68" w:rsidR="00CA1875" w:rsidRDefault="00D47C3D" w:rsidP="00D47C3D">
      <w:pPr>
        <w:tabs>
          <w:tab w:val="left" w:pos="288"/>
          <w:tab w:val="left" w:pos="720"/>
          <w:tab w:val="left" w:pos="3960"/>
        </w:tabs>
        <w:ind w:left="288"/>
      </w:pPr>
      <w:r>
        <w:t>Credit FERC 40740005 Regulatory Credit-</w:t>
      </w:r>
      <w:r w:rsidRPr="00D9561F">
        <w:t>Nuclear Outage Deferral</w:t>
      </w:r>
      <w:r>
        <w:tab/>
      </w:r>
      <w:r>
        <w:tab/>
        <w:t>Amt of expense incl True Up</w:t>
      </w:r>
    </w:p>
    <w:p w14:paraId="6B6AE941" w14:textId="7F8340B8" w:rsidR="00942FA6" w:rsidRDefault="00942FA6" w:rsidP="00942FA6">
      <w:pPr>
        <w:tabs>
          <w:tab w:val="left" w:pos="288"/>
          <w:tab w:val="left" w:pos="720"/>
          <w:tab w:val="left" w:pos="3960"/>
        </w:tabs>
      </w:pPr>
    </w:p>
    <w:p w14:paraId="2E071158" w14:textId="77777777" w:rsidR="00D47C3D" w:rsidRDefault="00D47C3D" w:rsidP="00D47C3D">
      <w:pPr>
        <w:tabs>
          <w:tab w:val="left" w:pos="720"/>
          <w:tab w:val="left" w:pos="3960"/>
        </w:tabs>
      </w:pPr>
    </w:p>
    <w:p w14:paraId="60313768" w14:textId="2BAE35D2" w:rsidR="00CA1875" w:rsidRPr="00D47C3D" w:rsidRDefault="00CA1875" w:rsidP="00CA1875">
      <w:pPr>
        <w:pStyle w:val="ListParagraph"/>
        <w:numPr>
          <w:ilvl w:val="0"/>
          <w:numId w:val="3"/>
        </w:numPr>
        <w:rPr>
          <w:b/>
          <w:u w:val="single"/>
        </w:rPr>
      </w:pPr>
      <w:r w:rsidRPr="00D47C3D">
        <w:rPr>
          <w:b/>
          <w:u w:val="single"/>
        </w:rPr>
        <w:t>Amortization:</w:t>
      </w:r>
    </w:p>
    <w:p w14:paraId="5B2773D6" w14:textId="77777777" w:rsidR="00CA1875" w:rsidRPr="00FF233E" w:rsidRDefault="00CA1875" w:rsidP="00CA1875">
      <w:pPr>
        <w:tabs>
          <w:tab w:val="left" w:pos="720"/>
          <w:tab w:val="left" w:pos="3960"/>
        </w:tabs>
      </w:pPr>
    </w:p>
    <w:p w14:paraId="1393B788" w14:textId="7E9D45CA" w:rsidR="00842AAD" w:rsidRDefault="00842AAD" w:rsidP="00CA1875">
      <w:pPr>
        <w:tabs>
          <w:tab w:val="left" w:pos="720"/>
          <w:tab w:val="left" w:pos="4320"/>
          <w:tab w:val="left" w:pos="5040"/>
        </w:tabs>
      </w:pPr>
      <w:r>
        <w:t xml:space="preserve">Booked by Financial Accounting and Reporting.  FAR maintains an amortization schedule for each of the outages in the Normalization Schedule worksheet.  This calculates the amortization expense and is </w:t>
      </w:r>
      <w:r>
        <w:lastRenderedPageBreak/>
        <w:t>amortized over a period of 24-months for Hatch and 18-months for Vogtle. On the 4</w:t>
      </w:r>
      <w:r w:rsidRPr="00842AAD">
        <w:rPr>
          <w:vertAlign w:val="superscript"/>
        </w:rPr>
        <w:t>th</w:t>
      </w:r>
      <w:r>
        <w:t xml:space="preserve"> </w:t>
      </w:r>
      <w:r w:rsidR="00267DB6">
        <w:t>Workday of the month</w:t>
      </w:r>
      <w:r>
        <w:t>, FAR books the amortization expense</w:t>
      </w:r>
      <w:r w:rsidR="00267DB6">
        <w:t>.</w:t>
      </w:r>
    </w:p>
    <w:p w14:paraId="24F48744" w14:textId="77777777" w:rsidR="00842AAD" w:rsidRDefault="00842AAD" w:rsidP="00CA1875">
      <w:pPr>
        <w:tabs>
          <w:tab w:val="left" w:pos="720"/>
          <w:tab w:val="left" w:pos="4320"/>
          <w:tab w:val="left" w:pos="5040"/>
        </w:tabs>
      </w:pPr>
    </w:p>
    <w:p w14:paraId="53F611A5" w14:textId="77777777" w:rsidR="00842AAD" w:rsidRDefault="00842AAD" w:rsidP="00CA1875">
      <w:pPr>
        <w:tabs>
          <w:tab w:val="left" w:pos="720"/>
          <w:tab w:val="left" w:pos="4320"/>
          <w:tab w:val="left" w:pos="5040"/>
        </w:tabs>
      </w:pPr>
    </w:p>
    <w:p w14:paraId="220FCDE5" w14:textId="77777777" w:rsidR="00CA1875" w:rsidRDefault="00CA1875" w:rsidP="00CA1875">
      <w:pPr>
        <w:tabs>
          <w:tab w:val="left" w:pos="720"/>
          <w:tab w:val="left" w:pos="4320"/>
          <w:tab w:val="left" w:pos="5040"/>
        </w:tabs>
      </w:pPr>
      <w:r>
        <w:t>Debit FERC 407</w:t>
      </w:r>
      <w:r w:rsidR="00792E32" w:rsidRPr="00792E32">
        <w:t>30007</w:t>
      </w:r>
      <w:r>
        <w:t xml:space="preserve"> Regulatory Debit</w:t>
      </w:r>
      <w:r w:rsidR="00792E32">
        <w:t>-</w:t>
      </w:r>
      <w:r w:rsidR="00792E32" w:rsidRPr="00792E32">
        <w:t xml:space="preserve"> </w:t>
      </w:r>
      <w:r w:rsidR="00792E32" w:rsidRPr="00D9561F">
        <w:t>Nuclear Outage Deferral</w:t>
      </w:r>
      <w:r>
        <w:tab/>
        <w:t>Amount of amortization</w:t>
      </w:r>
    </w:p>
    <w:p w14:paraId="535A93B2" w14:textId="77777777" w:rsidR="00CA1875" w:rsidRDefault="00CA1875" w:rsidP="00CA1875">
      <w:pPr>
        <w:rPr>
          <w:rFonts w:eastAsia="Times New Roman"/>
        </w:rPr>
      </w:pPr>
      <w:r>
        <w:tab/>
        <w:t>Credit FERC 1823</w:t>
      </w:r>
      <w:r w:rsidR="00792E32">
        <w:t>0620</w:t>
      </w:r>
      <w:r>
        <w:t xml:space="preserve"> Other Reg Assets</w:t>
      </w:r>
      <w:r>
        <w:tab/>
      </w:r>
      <w:r>
        <w:tab/>
      </w:r>
      <w:r w:rsidR="00792E32">
        <w:tab/>
      </w:r>
      <w:r w:rsidR="00792E32">
        <w:tab/>
      </w:r>
      <w:r w:rsidR="00792E32">
        <w:tab/>
      </w:r>
      <w:r w:rsidR="00792E32">
        <w:tab/>
      </w:r>
      <w:r w:rsidR="00792E32">
        <w:tab/>
      </w:r>
      <w:r w:rsidR="00792E32">
        <w:tab/>
      </w:r>
      <w:r w:rsidR="00792E32">
        <w:tab/>
      </w:r>
      <w:r w:rsidR="00792E32">
        <w:tab/>
      </w:r>
      <w:r>
        <w:t>Amount of amortization</w:t>
      </w:r>
      <w:r>
        <w:tab/>
      </w:r>
    </w:p>
    <w:p w14:paraId="54E0F4C5" w14:textId="77777777" w:rsidR="008C7BE7" w:rsidRDefault="008C7BE7" w:rsidP="008C7BE7">
      <w:pPr>
        <w:rPr>
          <w:rFonts w:eastAsia="Times New Roman"/>
        </w:rPr>
      </w:pPr>
    </w:p>
    <w:p w14:paraId="551B12FD" w14:textId="77777777" w:rsidR="00D9561F" w:rsidRPr="00D9561F" w:rsidRDefault="00D9561F" w:rsidP="00D9561F">
      <w:pPr>
        <w:rPr>
          <w:rFonts w:eastAsia="Times New Roman"/>
        </w:rPr>
      </w:pPr>
    </w:p>
    <w:p w14:paraId="0AB4638F" w14:textId="0395F476" w:rsidR="00792E32" w:rsidRPr="00D47C3D" w:rsidRDefault="00792E32" w:rsidP="00792E32">
      <w:pPr>
        <w:pStyle w:val="ListParagraph"/>
        <w:numPr>
          <w:ilvl w:val="0"/>
          <w:numId w:val="3"/>
        </w:numPr>
        <w:rPr>
          <w:b/>
          <w:u w:val="single"/>
        </w:rPr>
      </w:pPr>
      <w:r>
        <w:rPr>
          <w:b/>
          <w:u w:val="single"/>
        </w:rPr>
        <w:t>Regulatory Asset</w:t>
      </w:r>
      <w:r w:rsidRPr="00D47C3D">
        <w:rPr>
          <w:b/>
          <w:u w:val="single"/>
        </w:rPr>
        <w:t>:</w:t>
      </w:r>
    </w:p>
    <w:p w14:paraId="455C0ACA" w14:textId="77777777" w:rsidR="00CA1875" w:rsidRDefault="00CA1875" w:rsidP="008C7BE7">
      <w:pPr>
        <w:rPr>
          <w:rFonts w:eastAsia="Times New Roman"/>
        </w:rPr>
      </w:pPr>
    </w:p>
    <w:p w14:paraId="7716B6CE" w14:textId="77777777" w:rsidR="008C7BE7" w:rsidRDefault="00B27E30" w:rsidP="00792E32">
      <w:pPr>
        <w:rPr>
          <w:rFonts w:eastAsia="Times New Roman"/>
        </w:rPr>
      </w:pPr>
      <w:r>
        <w:rPr>
          <w:rFonts w:eastAsia="Times New Roman"/>
        </w:rPr>
        <w:t>Quarterly f</w:t>
      </w:r>
      <w:r w:rsidR="008C7BE7">
        <w:rPr>
          <w:rFonts w:eastAsia="Times New Roman"/>
        </w:rPr>
        <w:t>or reporting purposes</w:t>
      </w:r>
      <w:r w:rsidR="00792E32">
        <w:rPr>
          <w:rFonts w:eastAsia="Times New Roman"/>
        </w:rPr>
        <w:t>, FAR</w:t>
      </w:r>
      <w:r w:rsidR="008C7BE7">
        <w:rPr>
          <w:rFonts w:eastAsia="Times New Roman"/>
        </w:rPr>
        <w:t xml:space="preserve"> book</w:t>
      </w:r>
      <w:r w:rsidR="00792E32">
        <w:rPr>
          <w:rFonts w:eastAsia="Times New Roman"/>
        </w:rPr>
        <w:t>s</w:t>
      </w:r>
      <w:r w:rsidR="008C7BE7">
        <w:rPr>
          <w:rFonts w:eastAsia="Times New Roman"/>
        </w:rPr>
        <w:t xml:space="preserve"> an en</w:t>
      </w:r>
      <w:r w:rsidR="00924C6A">
        <w:rPr>
          <w:rFonts w:eastAsia="Times New Roman"/>
        </w:rPr>
        <w:t xml:space="preserve">try to move </w:t>
      </w:r>
      <w:r>
        <w:rPr>
          <w:rFonts w:eastAsia="Times New Roman"/>
        </w:rPr>
        <w:t>a portion of the long-term cost to short-term</w:t>
      </w:r>
      <w:r w:rsidR="00792E32">
        <w:rPr>
          <w:rFonts w:eastAsia="Times New Roman"/>
        </w:rPr>
        <w:t>.</w:t>
      </w:r>
    </w:p>
    <w:p w14:paraId="3D6FEB5B" w14:textId="77777777" w:rsidR="009A38CD" w:rsidRDefault="009A38CD"/>
    <w:p w14:paraId="09A4D8E7" w14:textId="41F16D90" w:rsidR="00792E32" w:rsidRDefault="00792E32" w:rsidP="00792E32">
      <w:pPr>
        <w:ind w:left="6330" w:hanging="6330"/>
      </w:pPr>
      <w:r>
        <w:t xml:space="preserve">Debit FERC 18230619 Other Reg Assets - </w:t>
      </w:r>
      <w:r w:rsidRPr="00792E32">
        <w:t>Nuc</w:t>
      </w:r>
      <w:r w:rsidR="008565C8">
        <w:t>lear</w:t>
      </w:r>
      <w:r w:rsidRPr="00792E32">
        <w:t xml:space="preserve"> Out Norm-Current</w:t>
      </w:r>
      <w:r>
        <w:tab/>
      </w:r>
      <w:r>
        <w:tab/>
        <w:t>Amount of amortization reclass to short term</w:t>
      </w:r>
    </w:p>
    <w:p w14:paraId="1421DD67" w14:textId="77777777" w:rsidR="00795DBC" w:rsidRDefault="00792E32" w:rsidP="00792E32">
      <w:r>
        <w:t>Credit FERC 18230620 Other Reg Assets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95DBC">
        <w:tab/>
      </w:r>
      <w:r>
        <w:t>Amount of amortization</w:t>
      </w:r>
    </w:p>
    <w:p w14:paraId="723776D5" w14:textId="77777777" w:rsidR="00792E32" w:rsidRDefault="00792E32" w:rsidP="00795DBC">
      <w:pPr>
        <w:ind w:left="6336" w:firstLine="288"/>
        <w:rPr>
          <w:rFonts w:eastAsia="Times New Roman"/>
        </w:rPr>
      </w:pPr>
      <w:r>
        <w:t xml:space="preserve"> reclass to short term</w:t>
      </w:r>
      <w:r>
        <w:tab/>
      </w:r>
    </w:p>
    <w:p w14:paraId="54D6AEFB" w14:textId="77777777" w:rsidR="00792E32" w:rsidRDefault="00792E32"/>
    <w:sectPr w:rsidR="00792E3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E7A5C" w14:textId="77777777" w:rsidR="00942FA6" w:rsidRDefault="00942FA6" w:rsidP="00942FA6">
      <w:r>
        <w:separator/>
      </w:r>
    </w:p>
  </w:endnote>
  <w:endnote w:type="continuationSeparator" w:id="0">
    <w:p w14:paraId="68AC61D5" w14:textId="77777777" w:rsidR="00942FA6" w:rsidRDefault="00942FA6" w:rsidP="00942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08D70" w14:textId="77777777" w:rsidR="0049177B" w:rsidRPr="0049177B" w:rsidRDefault="0049177B">
    <w:pPr>
      <w:pStyle w:val="Footer"/>
      <w:jc w:val="center"/>
    </w:pPr>
    <w:r w:rsidRPr="0049177B">
      <w:t xml:space="preserve">Page </w:t>
    </w:r>
    <w:r w:rsidRPr="0049177B">
      <w:fldChar w:fldCharType="begin"/>
    </w:r>
    <w:r w:rsidRPr="0049177B">
      <w:instrText xml:space="preserve"> PAGE  \* Arabic  \* MERGEFORMAT </w:instrText>
    </w:r>
    <w:r w:rsidRPr="0049177B">
      <w:fldChar w:fldCharType="separate"/>
    </w:r>
    <w:r w:rsidRPr="0049177B">
      <w:rPr>
        <w:noProof/>
      </w:rPr>
      <w:t>2</w:t>
    </w:r>
    <w:r w:rsidRPr="0049177B">
      <w:fldChar w:fldCharType="end"/>
    </w:r>
    <w:r w:rsidRPr="0049177B">
      <w:t xml:space="preserve"> of </w:t>
    </w:r>
    <w:fldSimple w:instr=" NUMPAGES  \* Arabic  \* MERGEFORMAT ">
      <w:r w:rsidRPr="0049177B">
        <w:rPr>
          <w:noProof/>
        </w:rPr>
        <w:t>2</w:t>
      </w:r>
    </w:fldSimple>
  </w:p>
  <w:p w14:paraId="5DA8161A" w14:textId="77777777" w:rsidR="0049177B" w:rsidRDefault="0049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DAF10" w14:textId="77777777" w:rsidR="00942FA6" w:rsidRDefault="00942FA6" w:rsidP="00942FA6">
      <w:r>
        <w:separator/>
      </w:r>
    </w:p>
  </w:footnote>
  <w:footnote w:type="continuationSeparator" w:id="0">
    <w:p w14:paraId="6CC3A23A" w14:textId="77777777" w:rsidR="00942FA6" w:rsidRDefault="00942FA6" w:rsidP="00942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423BD" w14:textId="29FCB443" w:rsidR="008565C8" w:rsidRDefault="008565C8">
    <w:pPr>
      <w:pStyle w:val="Header"/>
    </w:pPr>
    <w:r>
      <w:tab/>
    </w:r>
    <w:r>
      <w:tab/>
      <w:t>Attachment STF-3-4</w:t>
    </w:r>
    <w:r w:rsidR="0049177B">
      <w:t>d</w:t>
    </w:r>
  </w:p>
  <w:p w14:paraId="421D95F6" w14:textId="77777777" w:rsidR="008565C8" w:rsidRDefault="008565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46598"/>
    <w:multiLevelType w:val="hybridMultilevel"/>
    <w:tmpl w:val="77F0C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4F6BAA"/>
    <w:multiLevelType w:val="hybridMultilevel"/>
    <w:tmpl w:val="30768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31CA4"/>
    <w:multiLevelType w:val="hybridMultilevel"/>
    <w:tmpl w:val="77F0C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28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E7"/>
    <w:rsid w:val="00077D8F"/>
    <w:rsid w:val="000E0957"/>
    <w:rsid w:val="00182E25"/>
    <w:rsid w:val="001D26E7"/>
    <w:rsid w:val="00267DB6"/>
    <w:rsid w:val="0049177B"/>
    <w:rsid w:val="007920AE"/>
    <w:rsid w:val="00792E32"/>
    <w:rsid w:val="00795DBC"/>
    <w:rsid w:val="00842AAD"/>
    <w:rsid w:val="008565C8"/>
    <w:rsid w:val="008C7BE7"/>
    <w:rsid w:val="00924C6A"/>
    <w:rsid w:val="00942FA6"/>
    <w:rsid w:val="009A38CD"/>
    <w:rsid w:val="00B27E30"/>
    <w:rsid w:val="00BF084C"/>
    <w:rsid w:val="00C02869"/>
    <w:rsid w:val="00C20826"/>
    <w:rsid w:val="00C30110"/>
    <w:rsid w:val="00CA1875"/>
    <w:rsid w:val="00D47C3D"/>
    <w:rsid w:val="00D9561F"/>
    <w:rsid w:val="00D974A2"/>
    <w:rsid w:val="00DA3F67"/>
    <w:rsid w:val="00EA043E"/>
    <w:rsid w:val="00EC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8D1FC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BE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E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65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5C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5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5C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1D26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6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6E7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6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6E7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F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90348-119F-487D-8A3E-DD2EC198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2021-08-12T01:34:00Z</dcterms:created>
  <dcterms:modified xsi:type="dcterms:W3CDTF">2021-08-12T01:34:00Z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